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东阿县第二中学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tbl>
      <w:tblPr>
        <w:tblStyle w:val="12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学校教学管理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06353387969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</w:rPr>
              <w:t>1.《山东省普通</w:t>
            </w:r>
            <w:r>
              <w:rPr>
                <w:rFonts w:hint="eastAsia"/>
              </w:rPr>
              <w:t>中小学管理基本规范(试行）》(鲁教基字〔2007〕20号)第8-13条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</w:rPr>
              <w:t>充分发挥教学管理部门、年级组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、教研组</w:t>
            </w:r>
            <w:r>
              <w:t>(</w:t>
            </w:r>
            <w:r>
              <w:rPr>
                <w:rFonts w:hint="eastAsia"/>
              </w:rPr>
              <w:t>备课组</w:t>
            </w:r>
            <w:r>
              <w:t>)</w:t>
            </w:r>
            <w:r>
              <w:rPr>
                <w:rFonts w:hint="eastAsia"/>
              </w:rPr>
              <w:t>等管理职能，确保各项教学工作有序进行。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1025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东阿县第二中学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tbl>
      <w:tblPr>
        <w:tblStyle w:val="12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</w:rPr>
              <w:t>学校学生管理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06353387969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/>
              </w:rPr>
              <w:t>1.《山东省普通中小学管理基本规范(试行）》(鲁教基字〔2007〕20号)第5-7条、第19-20条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r>
              <w:t> </w:t>
            </w:r>
            <w:r>
              <w:rPr>
                <w:rFonts w:hint="eastAsia"/>
              </w:rPr>
              <w:t>学校要根据办学理念、育人目标、办学特色和学校实际，科学规划学校课程，制定并落实学校课程方案，包括课程目标、课程内容与结构、课程实施、课程评价、课程管理等。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125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东阿县第二中学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tbl>
      <w:tblPr>
        <w:tblStyle w:val="12"/>
        <w:tblW w:w="906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31"/>
        <w:gridCol w:w="2342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学生学籍管理及学生发展报告和综合素质评价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334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334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06353387969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1.《山东省普通中小学学籍管理规定（试行）》鲁教基字〔2007〕26号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   2.《山东省普通中小学管理基本规范（试行）》（鲁教基字〔2007〕20号）第1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   6、18条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7007" w:type="dxa"/>
            <w:gridSpan w:val="3"/>
            <w:vAlign w:val="center"/>
          </w:tcPr>
          <w:p>
            <w:r>
              <w:t> 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为新录取的学生办理建籍手续，为在校学生办理学籍变更、转入、转出等手续，指导各年级部做好学生发展报告与综合素质评价工作，全面评估学生在校期间的综合表现。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334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125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334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5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东阿县第二中学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tbl>
      <w:tblPr>
        <w:tblStyle w:val="12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06353387969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1.《山东省人民政府关于印发&lt;山东省中小学幼儿园安全管理暂行办法&gt;的通知》（鲁政发〔2010〕87号）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t> 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构建学校安全工作组织机构，健全安全管理制度，对师生进行安全宣传教育培训，提高师生安全意识和防护能力，制定突发事件应急预案并组织疏散演练，完善人防、物防、技防建设，做好各类安全隐患排查与整改，为全校师生营造安全的工作和生活环境。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1025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/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东阿县第二中学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tbl>
      <w:tblPr>
        <w:tblStyle w:val="12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初中学历教育作业费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06353387969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聊政办发【</w:t>
            </w:r>
            <w:r>
              <w:rPr>
                <w:rFonts w:ascii="仿宋_GB2312" w:hAnsi="宋体" w:eastAsia="仿宋_GB2312"/>
                <w:sz w:val="24"/>
                <w:szCs w:val="24"/>
              </w:rPr>
              <w:t>2004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】</w:t>
            </w:r>
            <w:r>
              <w:rPr>
                <w:rFonts w:ascii="仿宋_GB2312" w:hAnsi="宋体" w:eastAsia="仿宋_GB2312"/>
                <w:sz w:val="24"/>
                <w:szCs w:val="24"/>
              </w:rPr>
              <w:t>81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r>
              <w:t> </w:t>
            </w:r>
          </w:p>
          <w:p>
            <w:r>
              <w:t> </w:t>
            </w:r>
            <w:r>
              <w:rPr>
                <w:rFonts w:hint="eastAsia"/>
              </w:rPr>
              <w:t>根据上级规定，收取中学生作业费，确保正常教育教学运转，一般按照学期收费，由学生交至班主任，并开具收费单据。</w:t>
            </w:r>
          </w:p>
          <w:p/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聊政办发【</w:t>
            </w:r>
            <w:r>
              <w:rPr>
                <w:rFonts w:ascii="仿宋_GB2312" w:hAnsi="宋体" w:eastAsia="仿宋_GB2312"/>
                <w:sz w:val="24"/>
                <w:szCs w:val="24"/>
              </w:rPr>
              <w:t>2004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】</w:t>
            </w:r>
            <w:r>
              <w:rPr>
                <w:rFonts w:ascii="仿宋_GB2312" w:hAnsi="宋体" w:eastAsia="仿宋_GB2312"/>
                <w:sz w:val="24"/>
                <w:szCs w:val="24"/>
              </w:rPr>
              <w:t>81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1025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30750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08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60A"/>
    <w:rsid w:val="00015EB3"/>
    <w:rsid w:val="000C7A8E"/>
    <w:rsid w:val="001F5025"/>
    <w:rsid w:val="00213C83"/>
    <w:rsid w:val="00244F9E"/>
    <w:rsid w:val="002C60C3"/>
    <w:rsid w:val="002D1406"/>
    <w:rsid w:val="002D2F0F"/>
    <w:rsid w:val="00300C9F"/>
    <w:rsid w:val="00323B43"/>
    <w:rsid w:val="00367D63"/>
    <w:rsid w:val="0037479C"/>
    <w:rsid w:val="00395D77"/>
    <w:rsid w:val="003D37D8"/>
    <w:rsid w:val="004358AB"/>
    <w:rsid w:val="004445A8"/>
    <w:rsid w:val="004B460A"/>
    <w:rsid w:val="004C2A56"/>
    <w:rsid w:val="004E4C0A"/>
    <w:rsid w:val="005879CC"/>
    <w:rsid w:val="00596BAE"/>
    <w:rsid w:val="005A3842"/>
    <w:rsid w:val="005B7DA3"/>
    <w:rsid w:val="006D023D"/>
    <w:rsid w:val="007C5A20"/>
    <w:rsid w:val="007D601A"/>
    <w:rsid w:val="00805E97"/>
    <w:rsid w:val="008B7726"/>
    <w:rsid w:val="009B6334"/>
    <w:rsid w:val="00A6160F"/>
    <w:rsid w:val="00AB21E6"/>
    <w:rsid w:val="00AE50EA"/>
    <w:rsid w:val="00D621FA"/>
    <w:rsid w:val="00D70C44"/>
    <w:rsid w:val="00D97359"/>
    <w:rsid w:val="00E7657F"/>
    <w:rsid w:val="00E87028"/>
    <w:rsid w:val="00F26708"/>
    <w:rsid w:val="00FE36A1"/>
    <w:rsid w:val="6A13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FollowedHyperlink"/>
    <w:basedOn w:val="8"/>
    <w:semiHidden/>
    <w:unhideWhenUsed/>
    <w:uiPriority w:val="99"/>
    <w:rPr>
      <w:color w:val="222222"/>
      <w:u w:val="none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2 Char"/>
    <w:basedOn w:val="8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14">
    <w:name w:val="Heading 3 Char"/>
    <w:basedOn w:val="8"/>
    <w:link w:val="3"/>
    <w:locked/>
    <w:uiPriority w:val="99"/>
    <w:rPr>
      <w:rFonts w:ascii="宋体" w:hAnsi="宋体" w:eastAsia="宋体" w:cs="宋体"/>
      <w:b/>
      <w:bCs/>
      <w:sz w:val="27"/>
      <w:szCs w:val="27"/>
    </w:rPr>
  </w:style>
  <w:style w:type="character" w:customStyle="1" w:styleId="15">
    <w:name w:val="opt"/>
    <w:basedOn w:val="8"/>
    <w:uiPriority w:val="99"/>
    <w:rPr>
      <w:rFonts w:cs="Times New Roman"/>
    </w:rPr>
  </w:style>
  <w:style w:type="character" w:customStyle="1" w:styleId="16">
    <w:name w:val="apple-converted-space"/>
    <w:basedOn w:val="8"/>
    <w:qFormat/>
    <w:uiPriority w:val="99"/>
    <w:rPr>
      <w:rFonts w:cs="Times New Roman"/>
    </w:rPr>
  </w:style>
  <w:style w:type="character" w:customStyle="1" w:styleId="17">
    <w:name w:val="Header Char"/>
    <w:basedOn w:val="8"/>
    <w:link w:val="6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8">
    <w:name w:val="Footer Char"/>
    <w:basedOn w:val="8"/>
    <w:link w:val="5"/>
    <w:semiHidden/>
    <w:locked/>
    <w:uiPriority w:val="99"/>
    <w:rPr>
      <w:rFonts w:eastAsia="宋体" w:cs="Times New Roman"/>
      <w:sz w:val="18"/>
      <w:szCs w:val="18"/>
    </w:rPr>
  </w:style>
  <w:style w:type="character" w:customStyle="1" w:styleId="19">
    <w:name w:val="Balloon Text Char"/>
    <w:basedOn w:val="8"/>
    <w:link w:val="4"/>
    <w:semiHidden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523</Words>
  <Characters>2987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2017-10-10T00:16:00Z</dcterms:created>
  <dc:creator>xtzj</dc:creator>
  <cp:lastModifiedBy>将功成万骨枯</cp:lastModifiedBy>
  <cp:lastPrinted>2017-10-12T05:00:00Z</cp:lastPrinted>
  <dcterms:modified xsi:type="dcterms:W3CDTF">2018-01-05T06:37:31Z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